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BA" w:rsidRPr="00A35229" w:rsidRDefault="00A35229" w:rsidP="00A35229">
      <w:pPr>
        <w:jc w:val="center"/>
        <w:rPr>
          <w:rFonts w:ascii="Bookman Old Style" w:hAnsi="Bookman Old Style"/>
          <w:b/>
          <w:sz w:val="24"/>
          <w:szCs w:val="24"/>
        </w:rPr>
      </w:pPr>
      <w:r w:rsidRPr="00A35229">
        <w:rPr>
          <w:rFonts w:ascii="Bookman Old Style" w:hAnsi="Bookman Old Style"/>
          <w:b/>
          <w:sz w:val="24"/>
          <w:szCs w:val="24"/>
        </w:rPr>
        <w:t>ANEXO I – TERMO DE REFERÊNCIA</w:t>
      </w:r>
    </w:p>
    <w:p w:rsidR="00A35229" w:rsidRPr="00A35229" w:rsidRDefault="00A35229" w:rsidP="00A35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"/>
        <w:jc w:val="center"/>
        <w:rPr>
          <w:rFonts w:ascii="Bookman Old Style" w:eastAsia="Times New Roman" w:hAnsi="Bookman Old Style" w:cs="Times New Roman"/>
          <w:b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Times New Roman"/>
          <w:b/>
          <w:bCs/>
          <w:sz w:val="24"/>
          <w:szCs w:val="24"/>
          <w:lang w:eastAsia="pt-BR"/>
        </w:rPr>
        <w:t>TERMO DE REFERÊNCIA</w:t>
      </w:r>
    </w:p>
    <w:p w:rsidR="00A35229" w:rsidRPr="00A35229" w:rsidRDefault="00A35229" w:rsidP="00A35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"/>
        <w:jc w:val="center"/>
        <w:rPr>
          <w:rFonts w:ascii="Bookman Old Style" w:eastAsia="Times New Roman" w:hAnsi="Bookman Old Style" w:cs="Times New Roman"/>
          <w:b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Times New Roman"/>
          <w:b/>
          <w:bCs/>
          <w:sz w:val="24"/>
          <w:szCs w:val="24"/>
          <w:lang w:eastAsia="pt-BR"/>
        </w:rPr>
        <w:t>(AQUISIÇÃO DE BENS PROCESSADA PELO SRP)</w:t>
      </w:r>
    </w:p>
    <w:p w:rsidR="00A35229" w:rsidRPr="00A35229" w:rsidRDefault="00A35229" w:rsidP="00A35229">
      <w:pPr>
        <w:spacing w:after="0" w:line="240" w:lineRule="auto"/>
        <w:ind w:right="-1"/>
        <w:jc w:val="both"/>
        <w:rPr>
          <w:rFonts w:ascii="Bookman Old Style" w:eastAsia="Times New Roman" w:hAnsi="Bookman Old Style" w:cs="Times New Roman"/>
          <w:b/>
          <w:bCs/>
          <w:sz w:val="24"/>
          <w:szCs w:val="24"/>
          <w:lang w:eastAsia="pt-BR"/>
        </w:rPr>
      </w:pP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  <w:t>PROCESSO ADMINISTRATIVO Nº: 00</w:t>
      </w:r>
      <w:r w:rsidRPr="00A35229">
        <w:rPr>
          <w:rFonts w:ascii="Bookman Old Style" w:eastAsia="Times New Roman" w:hAnsi="Bookman Old Style" w:cs="Times New Roman"/>
          <w:b/>
          <w:sz w:val="24"/>
          <w:szCs w:val="24"/>
          <w:lang w:eastAsia="x-none"/>
        </w:rPr>
        <w:t>8</w:t>
      </w:r>
      <w:r w:rsidRPr="00A35229"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  <w:t>/2024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  <w:t>O presente instrumento foi formalizado com base nos levantamentos efetivados nos estudos técnicos preliminares, utilizando como parâmetro o relatório onde constam as justificativas para as presentes inserções e a materialização do planejamento.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  <w:t xml:space="preserve">Somado às presentes exigências, deverão ser observados pelos interessados em formalizar propostas, todas as exigências que estarão contidas no Edital. 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</w:p>
    <w:p w:rsidR="00A35229" w:rsidRPr="00A35229" w:rsidRDefault="00A35229" w:rsidP="00A35229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right="-1" w:hanging="11"/>
        <w:jc w:val="both"/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>DO OBJETO</w:t>
      </w:r>
    </w:p>
    <w:p w:rsidR="00A35229" w:rsidRPr="00A35229" w:rsidRDefault="00A35229" w:rsidP="00A35229">
      <w:pPr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ind w:left="0" w:right="-1" w:hanging="11"/>
        <w:contextualSpacing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Registro de Preços para futura e eventual aquisição </w:t>
      </w:r>
      <w:r w:rsidRPr="00A35229">
        <w:rPr>
          <w:rFonts w:ascii="Bookman Old Style" w:eastAsia="Calibri" w:hAnsi="Bookman Old Style" w:cs="Times New Roman"/>
          <w:sz w:val="24"/>
          <w:szCs w:val="24"/>
          <w:lang w:val="x-none"/>
        </w:rPr>
        <w:t>de materiais elétricos para manutenção da iluminação pública municipal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>, conforme condições e exigências estabelecidas no item 1.2.</w:t>
      </w:r>
    </w:p>
    <w:p w:rsidR="00A35229" w:rsidRPr="00A35229" w:rsidRDefault="00A35229" w:rsidP="00A35229">
      <w:pPr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ind w:left="0" w:right="-1" w:hanging="11"/>
        <w:contextualSpacing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>Definição/Detalhamento do objeto, conforme especificações técnicas, condições, quantidades e exigências estabelecidas neste instrumento, abaixo discriminadas:</w:t>
      </w:r>
    </w:p>
    <w:tbl>
      <w:tblPr>
        <w:tblW w:w="0" w:type="auto"/>
        <w:tblInd w:w="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10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610"/>
        <w:gridCol w:w="1055"/>
        <w:gridCol w:w="3075"/>
        <w:gridCol w:w="967"/>
        <w:gridCol w:w="759"/>
        <w:gridCol w:w="1306"/>
        <w:gridCol w:w="1439"/>
      </w:tblGrid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N° Item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Cód.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proofErr w:type="spellStart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Und</w:t>
            </w:r>
            <w:proofErr w:type="spellEnd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proofErr w:type="spellStart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Qtd</w:t>
            </w:r>
            <w:proofErr w:type="spellEnd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proofErr w:type="spellStart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Vlr</w:t>
            </w:r>
            <w:proofErr w:type="spellEnd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. Unit.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proofErr w:type="spellStart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Vlr</w:t>
            </w:r>
            <w:proofErr w:type="spellEnd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 xml:space="preserve">. </w:t>
            </w:r>
            <w:proofErr w:type="spellStart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Tot</w:t>
            </w:r>
            <w:proofErr w:type="spellEnd"/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.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0001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850044067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BRAÇO LUMINÁRIA EXTERNA PARA ILUMINAÇÃO PUBLICA, MATERIAL AÇO CARBONO, PESO 6 KG, TRATAMENTO SUPERFICIAL ZINCAGEM POR IMERSÃO A QUENTE, TIPO FIXAÇÃO POR BRAÇADEIRAS, DIÂMETRO TUBO 48 MM, ALTURA 160 MM, COMPRIMENTO 1.600 MM, DIÂMETRO FURO 18 MM, DISTÂNCIA ENTRE FUROS 200 MM, ÂNGULO INCLINAÇÃO 15 GRA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196,3333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5.889,9990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0002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850044068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BRAÇO LUMINÁRIA EXTERNA PARA ILUMINAÇÃO PUBLICA, MATERIAL AÇO CARBONO, TRATAMENTO SUPERFICIAL ZINCAGEM POR IMERSÃO A QUENTE, TIPO FIXAÇÃO POR BRAÇADEIRAS, DIÂMETRO TUBO 48 MM, ALTURA 160 MM, COMPRIMENTO 3.000 MM, DIÂMETRO FURO 18 MM, DISTÂNCIA ENTRE FUROS 200 MM, ÂNGULO INCLINAÇÃO 15 GRA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247,2500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7.417,5000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0003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850044066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LÂMPADA 100W VAPOR SODIO e40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70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41,0000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2.870,0000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lastRenderedPageBreak/>
              <w:t>0004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850044065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LÂMPADA 250W VAPOR SODIO e40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40,3750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4.037,5000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0005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850044059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LUMINARIA PUBLICA LED 100W 220V PROTEÇÃO IP66 E PROTEÇÃO ELÉTRICA 10KV/12KA 5.000°K(BRANCO)C/ BASE PRA RELE TRADICIONAL, EFICIENCIA 150 </w:t>
            </w:r>
            <w:proofErr w:type="spellStart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Lm</w:t>
            </w:r>
            <w:proofErr w:type="spellEnd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/W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477,5000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14.325,0000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0006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850044060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LUMINARIA PUBLICA LED 150W 220V PROTEÇÃO IP66 E PROTEÇÃO ELÉTRICA 10KV/12KA 5.000°K(BRANCO)C/ BASE PRA RELE TRADICIONAL, EFICIENCIA 150 </w:t>
            </w:r>
            <w:proofErr w:type="spellStart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Lm</w:t>
            </w:r>
            <w:proofErr w:type="spellEnd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/W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524,7500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10.495,0000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0007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850044061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LUMINARIA PUBLICA LED 200W 220V PROTEÇÃO IP66 E PROTEÇÃO ELÉTRICA 10KV/12KA 5.000°K(BRANCO)C/ BASE PRA RELE TRADICIONAL, EFICIENCIA 150 </w:t>
            </w:r>
            <w:proofErr w:type="spellStart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Lm</w:t>
            </w:r>
            <w:proofErr w:type="spellEnd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/W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594,7500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8.921,2500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0008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850044058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LUMINARIA PUBLICA LED 60W 220V PROTEÇÃO IP66 E PROTEÇÃO ELÉTRICA 10KV/12KA 5.000°K(BRANCO)C/ BASE PRA RELE TRADICIONAL, EFICIENCIA 150 </w:t>
            </w:r>
            <w:proofErr w:type="spellStart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Lm</w:t>
            </w:r>
            <w:proofErr w:type="spellEnd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/W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374,2500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11.227,5000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0009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850044069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PARAFUSO GALVANIZADO 5/8 X 250MM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16,8750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8.437,5000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0010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850044057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Poste de Concreto duplo T - 90 </w:t>
            </w:r>
            <w:proofErr w:type="spellStart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daN</w:t>
            </w:r>
            <w:proofErr w:type="spellEnd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  Compatível com Padrões Bifásicos e Trifásicos Cabos: 70, 95, 120 mm²  dimensões poste: 7m x 300 </w:t>
            </w:r>
            <w:proofErr w:type="spellStart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daN</w:t>
            </w:r>
            <w:proofErr w:type="spellEnd"/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 dimensões da cavidade: 40cm x 40cm x 1,35 prof. dimensões da base do poste: 28 x 35 cm dimensões do topo do poste: 11,5 x 13,5 cm </w:t>
            </w:r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COM INSTALAÇÃO</w:t>
            </w: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1.546,6667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30.933,3340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0011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850044064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REATOR PARA LÂMPADA DE VAPOR SÓDIO 100W, 220V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70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110,5000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7.735,0000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0012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850044063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REATOR PARA LÂMPADA DE VAPOR SÓDIO 250W, 220V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134,2500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13.425,0000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0013</w:t>
            </w: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850044062</w:t>
            </w: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RELÉ PROTEÇÃO SISTEMA ELÉTRICO, TIPO FOTOELÉTRICO, POTÊNCIA 1000W, TENSÃO 220V, CARACTERÍSTICAS ADICIONAIS C/ BASE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33,2500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  <w:t>16.625,0000</w:t>
            </w:r>
          </w:p>
        </w:tc>
      </w:tr>
      <w:tr w:rsidR="00A35229" w:rsidRPr="00A35229" w:rsidTr="00D93FF4">
        <w:tc>
          <w:tcPr>
            <w:tcW w:w="7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</w:p>
        </w:tc>
        <w:tc>
          <w:tcPr>
            <w:tcW w:w="9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</w:p>
        </w:tc>
        <w:tc>
          <w:tcPr>
            <w:tcW w:w="40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</w:p>
        </w:tc>
        <w:tc>
          <w:tcPr>
            <w:tcW w:w="10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  <w:lang w:eastAsia="pt-BR"/>
              </w:rPr>
            </w:pP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right"/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500" w:type="dxa"/>
            <w:shd w:val="clear" w:color="auto" w:fill="auto"/>
          </w:tcPr>
          <w:p w:rsidR="00A35229" w:rsidRPr="00A35229" w:rsidRDefault="00A35229" w:rsidP="00A35229">
            <w:pPr>
              <w:spacing w:after="0" w:line="259" w:lineRule="auto"/>
              <w:jc w:val="right"/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</w:pPr>
            <w:r w:rsidRPr="00A35229">
              <w:rPr>
                <w:rFonts w:ascii="Bookman Old Style" w:eastAsia="Arial" w:hAnsi="Bookman Old Style" w:cs="Arial"/>
                <w:b/>
                <w:sz w:val="18"/>
                <w:szCs w:val="18"/>
                <w:lang w:eastAsia="pt-BR"/>
              </w:rPr>
              <w:t>142.339,5830</w:t>
            </w:r>
          </w:p>
        </w:tc>
      </w:tr>
    </w:tbl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color w:val="000000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</w:rPr>
        <w:t>1.3.</w:t>
      </w: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color w:val="000000"/>
          <w:sz w:val="24"/>
          <w:szCs w:val="24"/>
          <w:lang w:eastAsia="pt-BR"/>
        </w:rPr>
        <w:t xml:space="preserve">A contratação será processada pelo </w:t>
      </w:r>
      <w:r w:rsidRPr="00A35229">
        <w:rPr>
          <w:rFonts w:ascii="Bookman Old Style" w:eastAsia="Calibri" w:hAnsi="Bookman Old Style" w:cs="Times New Roman"/>
          <w:b/>
          <w:color w:val="000000"/>
          <w:sz w:val="24"/>
          <w:szCs w:val="24"/>
          <w:lang w:eastAsia="pt-BR"/>
        </w:rPr>
        <w:t>Sistema de Registro de Preços</w:t>
      </w:r>
      <w:r w:rsidRPr="00A35229">
        <w:rPr>
          <w:rFonts w:ascii="Bookman Old Style" w:eastAsia="Calibri" w:hAnsi="Bookman Old Style" w:cs="Times New Roman"/>
          <w:color w:val="000000"/>
          <w:sz w:val="24"/>
          <w:szCs w:val="24"/>
          <w:lang w:eastAsia="pt-BR"/>
        </w:rPr>
        <w:t>, conforme autoriza o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 xml:space="preserve"> Decreto Federal nº 11.462 de 01 de abril de 2021.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Arial"/>
          <w:b/>
          <w:color w:val="000000"/>
          <w:sz w:val="24"/>
          <w:szCs w:val="24"/>
          <w:lang w:eastAsia="pt-BR"/>
        </w:rPr>
        <w:t>1.3.1</w:t>
      </w:r>
      <w:r w:rsidRPr="00A35229">
        <w:rPr>
          <w:rFonts w:ascii="Bookman Old Style" w:eastAsia="Calibri" w:hAnsi="Bookman Old Style" w:cs="Arial"/>
          <w:color w:val="000000"/>
          <w:sz w:val="24"/>
          <w:szCs w:val="24"/>
          <w:lang w:eastAsia="pt-BR"/>
        </w:rPr>
        <w:t>.</w:t>
      </w:r>
      <w:r w:rsidRPr="00A35229">
        <w:rPr>
          <w:rFonts w:ascii="Bookman Old Style" w:eastAsia="Calibri" w:hAnsi="Bookman Old Style" w:cs="Arial"/>
          <w:color w:val="000000"/>
          <w:sz w:val="24"/>
          <w:szCs w:val="24"/>
          <w:lang w:eastAsia="pt-BR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A existência de preços registrados implicará compromisso de fornecimento nas condições estabelecidas, mas não obrigará a secretaria a </w:t>
      </w:r>
      <w:r w:rsidRPr="00A35229">
        <w:rPr>
          <w:rFonts w:ascii="Bookman Old Style" w:eastAsia="Calibri" w:hAnsi="Bookman Old Style" w:cs="Times New Roman"/>
          <w:sz w:val="24"/>
          <w:szCs w:val="24"/>
        </w:rPr>
        <w:lastRenderedPageBreak/>
        <w:t>contratar, facultada a realização de licitação específica para a aquisição pretendida, desde que devidamente motivada.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1.4.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As quantidades indicadas no subitem 1.2 são estimativas de consumo anual.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1.4.1.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Nas eventuais contratações decorrentes da ata de registro de preço, o quantitativo a ser adquirido ficará limitado ao valor máximo da despesa fixado na pesquisa de preço de que trata o item 8 deste Termo de Referência.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1.5.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Não será permitido ao licitante: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proofErr w:type="gramStart"/>
      <w:r w:rsidRPr="00A35229">
        <w:rPr>
          <w:rFonts w:ascii="Bookman Old Style" w:eastAsia="Calibri" w:hAnsi="Bookman Old Style" w:cs="Times New Roman"/>
          <w:sz w:val="24"/>
          <w:szCs w:val="24"/>
        </w:rPr>
        <w:t>a)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Oferecer</w:t>
      </w:r>
      <w:proofErr w:type="gramEnd"/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 proposta em quantitativo inferior ao previsto no subitem 1.2 deste Termo de Referência (proposta parcial);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sz w:val="24"/>
          <w:szCs w:val="24"/>
        </w:rPr>
        <w:t>b)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Preços diferentes para o mesmo item a ser licitado.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bCs/>
          <w:color w:val="FF0000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>1.6.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 O objeto desta contratação é caracterizado como bem comum nos termos do inciso </w:t>
      </w:r>
      <w:r w:rsidRPr="00A35229">
        <w:rPr>
          <w:rFonts w:ascii="Bookman Old Style" w:eastAsia="Times New Roman" w:hAnsi="Bookman Old Style" w:cs="Arial"/>
          <w:color w:val="000000"/>
          <w:sz w:val="24"/>
          <w:szCs w:val="24"/>
          <w:lang w:val="x-none" w:eastAsia="pt-BR"/>
        </w:rPr>
        <w:t>XIII do art.6º da Lei 14.133, de 2021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>, conforme informado na SD originária, e atende as disposições do Decreto nº 430 de 09 de janeiro de 2024,</w:t>
      </w:r>
      <w:r w:rsidRPr="00A35229">
        <w:rPr>
          <w:rFonts w:ascii="Bookman Old Style" w:eastAsia="Calibri" w:hAnsi="Bookman Old Style" w:cs="Calibri"/>
          <w:bCs/>
          <w:color w:val="FF0000"/>
          <w:sz w:val="24"/>
          <w:szCs w:val="24"/>
          <w:lang w:val="x-none"/>
        </w:rPr>
        <w:t xml:space="preserve"> </w:t>
      </w:r>
      <w:r w:rsidRPr="00A35229">
        <w:rPr>
          <w:rFonts w:ascii="Bookman Old Style" w:eastAsia="Calibri" w:hAnsi="Bookman Old Style" w:cs="Calibri"/>
          <w:bCs/>
          <w:sz w:val="24"/>
          <w:szCs w:val="24"/>
          <w:lang w:val="x-none"/>
        </w:rPr>
        <w:t>não se caracterizando como bem de luxo.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>1.7.</w:t>
      </w: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Utilização do catálogo de padronização: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1.7.1.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 xml:space="preserve"> O órgão adotará catálogo próprio e os produtos não estão padronizados até a presente data, sendo utilizada a especificação técnica contida no sistema interno enquanto o catálogo de padronização está sendo construído gradativamente.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  <w:t>Do prazo de vigência da Ata de Registro de Preço e dos Contratos dela decorrentes: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color w:val="000000"/>
          <w:sz w:val="24"/>
          <w:szCs w:val="24"/>
          <w:lang w:eastAsia="pt-BR"/>
        </w:rPr>
        <w:t>1.7.2.</w:t>
      </w:r>
      <w:r w:rsidRPr="00A35229">
        <w:rPr>
          <w:rFonts w:ascii="Bookman Old Style" w:eastAsia="Calibri" w:hAnsi="Bookman Old Style" w:cs="Times New Roman"/>
          <w:color w:val="000000"/>
          <w:sz w:val="24"/>
          <w:szCs w:val="24"/>
          <w:lang w:eastAsia="pt-BR"/>
        </w:rPr>
        <w:t xml:space="preserve"> 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O prazo de vigência da ata de registro de preços a ser formalizada será de 1 (um) ano, contados da data da publicação de seu extrato no Site Oficial do Município https://eugenopolis.mg.gov.br/, e poderá ser prorrogado, por igual período, observado as regras previstas na Ata de Registro de Preço.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color w:val="000000"/>
          <w:sz w:val="24"/>
          <w:szCs w:val="24"/>
          <w:lang w:eastAsia="pt-BR"/>
        </w:rPr>
        <w:t>1.8.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ab/>
        <w:t>O prazo de duração dos contratos, decorrentes da ARP, não se confunde com o prazo de vigência da própria ata (previsto no subitem 1.7.2), estando aquele primeiro submetido ao disposto no Capítulo V do Título III da Lei 14.133, de 2021.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1.8.</w:t>
      </w:r>
      <w:r w:rsidRPr="00A35229">
        <w:rPr>
          <w:rFonts w:ascii="Bookman Old Style" w:eastAsia="Calibri" w:hAnsi="Bookman Old Style" w:cs="Times New Roman"/>
          <w:b/>
          <w:bCs/>
          <w:sz w:val="24"/>
          <w:szCs w:val="24"/>
          <w:lang w:eastAsia="pt-BR"/>
        </w:rPr>
        <w:t>1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.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ab/>
        <w:t>O instrumento que se utilizará da Ata de Registro de Preços será a Autorização de fornecimento, em modelo padronizado do órgão, podendo ser firmado contrato com o prazo de vigência da contratação, na forma do artigo 105 da Lei 14.133, de 2021.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Times New Roman"/>
          <w:iCs/>
          <w:color w:val="000000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Times New Roman"/>
          <w:b/>
          <w:iCs/>
          <w:color w:val="000000"/>
          <w:sz w:val="24"/>
          <w:szCs w:val="24"/>
          <w:lang w:val="x-none"/>
        </w:rPr>
        <w:t>1.9</w:t>
      </w:r>
      <w:r w:rsidRPr="00A35229">
        <w:rPr>
          <w:rFonts w:ascii="Bookman Old Style" w:eastAsia="Calibri" w:hAnsi="Bookman Old Style" w:cs="Times New Roman"/>
          <w:iCs/>
          <w:color w:val="000000"/>
          <w:sz w:val="24"/>
          <w:szCs w:val="24"/>
          <w:lang w:val="x-none"/>
        </w:rPr>
        <w:t>. O instrumento do contrato conterá o detalhamento das regras que serão aplicadas em relação à vigência da contratação.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Times New Roman"/>
          <w:iCs/>
          <w:color w:val="000000"/>
          <w:sz w:val="24"/>
          <w:szCs w:val="24"/>
          <w:lang w:val="x-none"/>
        </w:rPr>
      </w:pPr>
    </w:p>
    <w:p w:rsidR="00A35229" w:rsidRPr="00A35229" w:rsidRDefault="00A35229" w:rsidP="00A35229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right="-1" w:hanging="11"/>
        <w:jc w:val="both"/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>DA JUSTIFICATIVA/NECESSIDADE DA CONTRATAÇÃO</w:t>
      </w:r>
    </w:p>
    <w:p w:rsidR="00A35229" w:rsidRPr="00A35229" w:rsidRDefault="00A35229" w:rsidP="00A35229">
      <w:pPr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ind w:left="0" w:right="-1" w:firstLine="0"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Conforme materializada no relatório do ETP, a contratação </w:t>
      </w:r>
      <w:r w:rsidRPr="00A35229">
        <w:rPr>
          <w:rFonts w:ascii="Bookman Old Style" w:eastAsia="Calibri" w:hAnsi="Bookman Old Style" w:cs="Times New Roman"/>
          <w:bCs/>
          <w:sz w:val="24"/>
          <w:szCs w:val="24"/>
          <w:lang w:val="x-none"/>
        </w:rPr>
        <w:t xml:space="preserve">visa a 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aquisição </w:t>
      </w:r>
      <w:r w:rsidRPr="00A35229">
        <w:rPr>
          <w:rFonts w:ascii="Bookman Old Style" w:eastAsia="Calibri" w:hAnsi="Bookman Old Style" w:cs="Times New Roman"/>
          <w:sz w:val="24"/>
          <w:szCs w:val="24"/>
          <w:lang w:val="x-none"/>
        </w:rPr>
        <w:t>de materiais elétricos para manutenção da iluminação pública municipal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. </w:t>
      </w:r>
      <w:r w:rsidRPr="00A35229">
        <w:rPr>
          <w:rFonts w:ascii="Bookman Old Style" w:eastAsia="Arial Narrow" w:hAnsi="Bookman Old Style" w:cs="Arial Narrow"/>
          <w:sz w:val="24"/>
          <w:szCs w:val="24"/>
          <w:lang w:val="x-none"/>
        </w:rPr>
        <w:t xml:space="preserve">A aquisição do objeto se justifica, pois, se trata de materiais essenciais e necessários à manutenção e preservação do sistema de IP Municipal. Importante ressaltar que um sistema de IP eficiente, além de promover bem-estar à população, é fator preponderante na prevenção da criminalidade. Por outro lado, uma IP ineficiente é um facilitador para a </w:t>
      </w:r>
      <w:r w:rsidRPr="00A35229">
        <w:rPr>
          <w:rFonts w:ascii="Bookman Old Style" w:eastAsia="Arial Narrow" w:hAnsi="Bookman Old Style" w:cs="Arial Narrow"/>
          <w:sz w:val="24"/>
          <w:szCs w:val="24"/>
          <w:lang w:val="x-none"/>
        </w:rPr>
        <w:lastRenderedPageBreak/>
        <w:t>consumação de crimes, colocando a segurança e a vida das pessoas em risco. Sendo assim, para manutenção dos serviços de IP, se faz imprescindível a aquisição dos itens que contemplam o objeto desde instrumento.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color w:val="0D0D0D"/>
          <w:sz w:val="24"/>
          <w:szCs w:val="24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 xml:space="preserve">3 – DA DESCRIÇÃO DA SOLUÇÃO COMO UM TODO E REQUISITOS DA CONTRATAÇÃO -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>Conforme previsto no relatório do ETP, a solução como um todo estabelece os requisitos abaixo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</w:rPr>
        <w:t>:</w:t>
      </w:r>
    </w:p>
    <w:p w:rsidR="00A35229" w:rsidRPr="00A35229" w:rsidRDefault="00A35229" w:rsidP="00A35229">
      <w:pPr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bCs/>
          <w:sz w:val="24"/>
          <w:szCs w:val="24"/>
          <w:lang w:eastAsia="pt-BR"/>
        </w:rPr>
        <w:t>3.1. O presente estudo registra os principais requisitos para a contratação, conforme abaixo:</w:t>
      </w:r>
    </w:p>
    <w:p w:rsidR="00A35229" w:rsidRPr="00A35229" w:rsidRDefault="00A35229" w:rsidP="00A35229">
      <w:pPr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>3.1.1 Prazo de entrega/execução: O fornecedor tem o prazo de 10 dias desde a solicitação feita pelo setor de compras.</w:t>
      </w:r>
    </w:p>
    <w:p w:rsidR="00A35229" w:rsidRPr="00A35229" w:rsidRDefault="00A35229" w:rsidP="00A35229">
      <w:pPr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>3.1.2. Local e horário da entrega:</w:t>
      </w: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 xml:space="preserve"> </w:t>
      </w:r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>As entregas deverão ser realizadas no município de Eugenópolis, inclusive nos Distritos, em dias úteis, entre 08 h (oito horas) as 16h (dezesseis horas), cujo local e seu endereço serão previamente informados na ordem de fornecimento ou de outro documento equivalente.</w:t>
      </w:r>
    </w:p>
    <w:p w:rsidR="00A35229" w:rsidRPr="00A35229" w:rsidRDefault="00A35229" w:rsidP="00A35229">
      <w:pPr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>3.1.3. Condições do recebimento: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 xml:space="preserve"> </w:t>
      </w: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 xml:space="preserve">Em até </w:t>
      </w:r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>20 dias</w:t>
      </w: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 xml:space="preserve"> após entrega do produto e sua respectiva nota fiscal ao setor de tesouraria da prefeitura.</w:t>
      </w:r>
    </w:p>
    <w:p w:rsidR="00A35229" w:rsidRPr="00A35229" w:rsidRDefault="00A35229" w:rsidP="00A35229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 xml:space="preserve">3.1.4. Prazo e forma de garantia </w:t>
      </w: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(garantias legal e complementar - inciso III, § 1º, art. 40 – art. 58 - § 1º do art. 96, NLL):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 xml:space="preserve"> </w:t>
      </w: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Garantia Legal do CDC.</w:t>
      </w:r>
    </w:p>
    <w:p w:rsidR="00A35229" w:rsidRPr="00A35229" w:rsidRDefault="00A35229" w:rsidP="00A35229">
      <w:pPr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 xml:space="preserve">3.1.5. Prazo para substituição/correção: O prazo de substituição será de </w:t>
      </w:r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>10 dias</w:t>
      </w: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>.</w:t>
      </w:r>
    </w:p>
    <w:p w:rsidR="00A35229" w:rsidRPr="00A35229" w:rsidRDefault="00A35229" w:rsidP="00A35229">
      <w:pPr>
        <w:adjustRightInd w:val="0"/>
        <w:spacing w:after="0" w:line="240" w:lineRule="auto"/>
        <w:jc w:val="both"/>
        <w:rPr>
          <w:rFonts w:ascii="Bookman Old Style" w:eastAsia="Times New Roman" w:hAnsi="Bookman Old Style" w:cs="Calibri"/>
          <w:b/>
          <w:bCs/>
          <w:color w:val="0D0D0D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 xml:space="preserve">3.1.6. Prazo de vigência da contratação: o prazo de vigência da ARP será de </w:t>
      </w:r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>12 meses.</w:t>
      </w:r>
    </w:p>
    <w:p w:rsidR="00A35229" w:rsidRPr="00A35229" w:rsidRDefault="00A35229" w:rsidP="00A35229">
      <w:pPr>
        <w:spacing w:after="0" w:line="240" w:lineRule="auto"/>
        <w:contextualSpacing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3.2.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ab/>
        <w:t>Do consórcio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3.2.1.</w:t>
      </w: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Não será permitida a participação de empresas em regime de consórcio, pela seguinte razão: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 xml:space="preserve">Para o </w:t>
      </w:r>
      <w:proofErr w:type="gramStart"/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presente  objeto</w:t>
      </w:r>
      <w:proofErr w:type="gramEnd"/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 xml:space="preserve">  não é necessária a previsão de participação de empresas de forma consorciada, considerando que o objeto não é complexo e pode ser desenvolvido por uma só empresa, sendo assim, o instituto, não representa para o caso estudado, maior garantia a execução contratual,  e a sua não adoção permitirá maior facilidade para o processo de fiscalização.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3.3.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ab/>
        <w:t>Da subcontratação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3.3.1.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ab/>
        <w:t>Não será admitida a subcontratação do objeto contratual.</w:t>
      </w:r>
    </w:p>
    <w:p w:rsidR="00A35229" w:rsidRPr="00A35229" w:rsidRDefault="00A35229" w:rsidP="00A35229">
      <w:pPr>
        <w:spacing w:after="0" w:line="240" w:lineRule="auto"/>
        <w:ind w:left="283" w:hanging="283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3.4.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Da exigência de garantia da contratação:</w:t>
      </w:r>
    </w:p>
    <w:p w:rsidR="00A35229" w:rsidRPr="00A35229" w:rsidRDefault="00A35229" w:rsidP="00A35229">
      <w:pPr>
        <w:spacing w:after="0" w:line="240" w:lineRule="auto"/>
        <w:ind w:hanging="1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3.4.1.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Conforme justificado no ETP não haverá necessidade de exigência de garantia contratual.</w:t>
      </w:r>
    </w:p>
    <w:p w:rsidR="00A35229" w:rsidRPr="00A35229" w:rsidRDefault="00A35229" w:rsidP="00A35229">
      <w:pPr>
        <w:spacing w:after="0" w:line="240" w:lineRule="auto"/>
        <w:ind w:right="-1"/>
        <w:jc w:val="both"/>
        <w:rPr>
          <w:rFonts w:ascii="Bookman Old Style" w:eastAsia="Times New Roman" w:hAnsi="Bookman Old Style" w:cs="Calibri"/>
          <w:b/>
          <w:i/>
          <w:iCs/>
          <w:color w:val="FF0000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iCs/>
          <w:color w:val="000000"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b/>
          <w:iCs/>
          <w:color w:val="000000"/>
          <w:sz w:val="24"/>
          <w:szCs w:val="24"/>
          <w:lang w:val="x-none" w:eastAsia="x-none"/>
        </w:rPr>
        <w:t>4. MODELO DE EXECUÇÃO DO OBJETO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4.1.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Das contratações decorrentes da Ata de Registro de Preço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4.1.1.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A contratação com o detentor da ata será formalizada pelo órgão ou entidade participante, observado o disposto neste Termo de Referência e na Ata de Registro de Preço.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4.2.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Condições de entrega</w:t>
      </w: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b/>
          <w:iCs/>
          <w:color w:val="000000"/>
          <w:sz w:val="24"/>
          <w:szCs w:val="24"/>
          <w:lang w:val="x-none" w:eastAsia="x-none"/>
        </w:rPr>
        <w:lastRenderedPageBreak/>
        <w:t>4.2.1.</w:t>
      </w:r>
      <w:r w:rsidRPr="00A35229">
        <w:rPr>
          <w:rFonts w:ascii="Bookman Old Style" w:eastAsia="Times New Roman" w:hAnsi="Bookman Old Style" w:cs="Times New Roman"/>
          <w:iCs/>
          <w:color w:val="000000"/>
          <w:sz w:val="24"/>
          <w:szCs w:val="24"/>
          <w:lang w:val="x-none" w:eastAsia="x-none"/>
        </w:rPr>
        <w:t xml:space="preserve"> Cada entrega deverá ser efetuada mediante o instrumento de solicitação por escrito, formalizado pela contratante, através </w:t>
      </w:r>
      <w:r w:rsidRPr="00A35229">
        <w:rPr>
          <w:rFonts w:ascii="Bookman Old Style" w:eastAsia="Times New Roman" w:hAnsi="Bookman Old Style" w:cs="Times New Roman"/>
          <w:iCs/>
          <w:sz w:val="24"/>
          <w:szCs w:val="24"/>
          <w:lang w:val="x-none" w:eastAsia="x-none"/>
        </w:rPr>
        <w:t xml:space="preserve">da </w:t>
      </w:r>
      <w:r w:rsidRPr="00A35229">
        <w:rPr>
          <w:rFonts w:ascii="Bookman Old Style" w:eastAsia="Times New Roman" w:hAnsi="Bookman Old Style" w:cs="Times New Roman"/>
          <w:iCs/>
          <w:sz w:val="24"/>
          <w:szCs w:val="24"/>
          <w:lang w:eastAsia="x-none"/>
        </w:rPr>
        <w:t xml:space="preserve">Autorização </w:t>
      </w:r>
      <w:r w:rsidRPr="00A35229">
        <w:rPr>
          <w:rFonts w:ascii="Bookman Old Style" w:eastAsia="Times New Roman" w:hAnsi="Bookman Old Style" w:cs="Times New Roman"/>
          <w:iCs/>
          <w:sz w:val="24"/>
          <w:szCs w:val="24"/>
          <w:lang w:val="x-none" w:eastAsia="x-none"/>
        </w:rPr>
        <w:t xml:space="preserve">de fornecimento, na forma </w:t>
      </w:r>
      <w:r w:rsidRPr="00A35229">
        <w:rPr>
          <w:rFonts w:ascii="Bookman Old Style" w:eastAsia="Times New Roman" w:hAnsi="Bookman Old Style" w:cs="Times New Roman"/>
          <w:iCs/>
          <w:color w:val="000000"/>
          <w:sz w:val="24"/>
          <w:szCs w:val="24"/>
          <w:lang w:val="x-none" w:eastAsia="x-none"/>
        </w:rPr>
        <w:t>e prazo especificado no item 4.2.2 do presente Termo de Referência. D</w:t>
      </w:r>
      <w:r w:rsidRPr="00A35229">
        <w:rPr>
          <w:rFonts w:ascii="Bookman Old Style" w:eastAsia="Times New Roman" w:hAnsi="Bookman Old Style" w:cs="Times New Roman"/>
          <w:iCs/>
          <w:sz w:val="24"/>
          <w:szCs w:val="24"/>
          <w:lang w:val="x-none" w:eastAsia="x-none"/>
        </w:rPr>
        <w:t>evendo constar a data, o valor unitário da entrega, a quantidade pretendida, o local para a entrega, o prazo, a assinatura e identificação do responsável, devidamente autorizado pela autoridade superior e acompanhada da nota de empenho ou instrumento equivalente, contendo o número de referência da Ata de Registro de Preço.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 xml:space="preserve">4.2.2.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O prazo de entrega dos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</w:rPr>
        <w:t>materiais/equipamentos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</w:rPr>
        <w:t>será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 de </w:t>
      </w: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</w:rPr>
        <w:t>10 (dez)</w:t>
      </w: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 xml:space="preserve"> dias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, contados da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</w:rPr>
        <w:t>Autorização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 de fornecimento em remessa única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</w:rPr>
        <w:t>.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 </w:t>
      </w:r>
    </w:p>
    <w:p w:rsidR="00A35229" w:rsidRPr="00A35229" w:rsidRDefault="00A35229" w:rsidP="00A35229">
      <w:pPr>
        <w:tabs>
          <w:tab w:val="left" w:pos="851"/>
        </w:tabs>
        <w:suppressAutoHyphens/>
        <w:spacing w:after="0" w:line="240" w:lineRule="auto"/>
        <w:jc w:val="both"/>
        <w:rPr>
          <w:rFonts w:ascii="Bookman Old Style" w:eastAsia="Times New Roman" w:hAnsi="Bookman Old Style" w:cs="Arial"/>
          <w:b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color w:val="0D0D0D"/>
          <w:sz w:val="24"/>
          <w:szCs w:val="24"/>
          <w:lang w:eastAsia="pt-BR"/>
        </w:rPr>
        <w:t xml:space="preserve">4.2.3. </w:t>
      </w:r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 xml:space="preserve">O Poste de Concreto (item 10), deverá ser entregue e instalado, pois o município não possui condições técnica e operacionais para a instalação do mesmo. </w:t>
      </w:r>
      <w:proofErr w:type="spellStart"/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>Obs</w:t>
      </w:r>
      <w:proofErr w:type="spellEnd"/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 xml:space="preserve">: A </w:t>
      </w:r>
      <w:proofErr w:type="spellStart"/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>intalação</w:t>
      </w:r>
      <w:proofErr w:type="spellEnd"/>
      <w:r w:rsidRPr="00A35229">
        <w:rPr>
          <w:rFonts w:ascii="Bookman Old Style" w:eastAsia="Times New Roman" w:hAnsi="Bookman Old Style" w:cs="Arial"/>
          <w:b/>
          <w:sz w:val="24"/>
          <w:szCs w:val="24"/>
          <w:lang w:eastAsia="pt-BR"/>
        </w:rPr>
        <w:t xml:space="preserve"> mencionada se refere apenas a fixação do poste no solo sendo a instalação elétrica por conta da contratante.</w:t>
      </w:r>
    </w:p>
    <w:p w:rsidR="00A35229" w:rsidRPr="00A35229" w:rsidRDefault="00A35229" w:rsidP="00A35229">
      <w:pPr>
        <w:spacing w:after="0" w:line="240" w:lineRule="auto"/>
        <w:ind w:right="-1"/>
        <w:jc w:val="both"/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 xml:space="preserve">4.3. </w:t>
      </w: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>Do local e horário de entrega/execução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>:</w:t>
      </w: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 xml:space="preserve"> </w:t>
      </w:r>
    </w:p>
    <w:p w:rsidR="00A35229" w:rsidRPr="00A35229" w:rsidRDefault="00A35229" w:rsidP="00A35229">
      <w:pPr>
        <w:spacing w:after="0" w:line="240" w:lineRule="auto"/>
        <w:ind w:right="-1"/>
        <w:jc w:val="both"/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>4.3.1.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 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ab/>
        <w:t>O local e hora da entrega serão definidos no instrumento de solicitação, descrito no item 4.2.1.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</w:rPr>
        <w:t>4.3.2.</w:t>
      </w: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Caso não seja possível a entrega na data assinalada, a contratada deverá comunicar as suas razões, com a devida comprovação, com pelo menos 05 (cinco) dias de antecedência, para que qualquer pleito de prorrogação de prazo seja analisado, ressalvadas as situações de caso fortuito e força maior.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iCs/>
          <w:sz w:val="24"/>
          <w:szCs w:val="24"/>
        </w:rPr>
        <w:t>4.3.3.</w:t>
      </w:r>
      <w:r w:rsidRPr="00A35229">
        <w:rPr>
          <w:rFonts w:ascii="Bookman Old Style" w:eastAsia="Calibri" w:hAnsi="Bookman Old Style" w:cs="Times New Roman"/>
          <w:b/>
          <w:iCs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A contratada obriga-se a entregar o objeto em conformidade com as especificações descritas na Proposta de Preços e neste Termo de Referência, sendo de sua inteira responsabilidade a substituição, caso não esteja em conformidade com as referidas especificações.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4.3.4.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 xml:space="preserve">Todas as despesas relativas à entrega e transporte dos objetos licitados, bem como todos os impostos, taxas e demais despesas decorrentes do contrato, serão por conta exclusiva da contratada. 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4.3.5.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Os objetos deverão ser entregues embalados, de forma a não serem danificados durante as operações de transporte e descarga no local da entrega.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b/>
          <w:i/>
          <w:sz w:val="24"/>
          <w:szCs w:val="24"/>
          <w:highlight w:val="yellow"/>
        </w:rPr>
      </w:pPr>
    </w:p>
    <w:p w:rsidR="00A35229" w:rsidRPr="00A35229" w:rsidRDefault="00A35229" w:rsidP="00A35229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 w:right="-1" w:firstLine="0"/>
        <w:contextualSpacing/>
        <w:jc w:val="both"/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 xml:space="preserve">DOS CRITÉRIOS DE MEDIÇÃO E PAGAMENTO 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>5.1 .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 Para a medição do objeto, sendo o caso de cronograma de execução, este será anexo do contrato e deverá ser observado no processo de fiscalização.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  <w:lang w:val="x-none"/>
        </w:rPr>
        <w:t xml:space="preserve">5.2. </w:t>
      </w:r>
      <w:r w:rsidRPr="00A35229">
        <w:rPr>
          <w:rFonts w:ascii="Bookman Old Style" w:eastAsia="Calibri" w:hAnsi="Bookman Old Style" w:cs="Calibri"/>
          <w:color w:val="0D0D0D"/>
          <w:sz w:val="24"/>
          <w:szCs w:val="24"/>
          <w:lang w:val="x-none"/>
        </w:rPr>
        <w:t xml:space="preserve">Recebida a Nota Fiscal ou documento de cobrança equivalente deverão ser observadas as seguintes informações: </w:t>
      </w:r>
    </w:p>
    <w:p w:rsidR="00A35229" w:rsidRPr="00A35229" w:rsidRDefault="00A35229" w:rsidP="00A35229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proofErr w:type="gramStart"/>
      <w:r w:rsidRPr="00A35229">
        <w:rPr>
          <w:rFonts w:ascii="Bookman Old Style" w:eastAsia="Calibri" w:hAnsi="Bookman Old Style" w:cs="Times New Roman"/>
          <w:sz w:val="24"/>
          <w:szCs w:val="24"/>
        </w:rPr>
        <w:t>número</w:t>
      </w:r>
      <w:proofErr w:type="gramEnd"/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 do contrato ou número do empenho; </w:t>
      </w:r>
    </w:p>
    <w:p w:rsidR="00A35229" w:rsidRPr="00A35229" w:rsidRDefault="00A35229" w:rsidP="00A35229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proofErr w:type="gramStart"/>
      <w:r w:rsidRPr="00A35229">
        <w:rPr>
          <w:rFonts w:ascii="Bookman Old Style" w:eastAsia="Calibri" w:hAnsi="Bookman Old Style" w:cs="Times New Roman"/>
          <w:sz w:val="24"/>
          <w:szCs w:val="24"/>
        </w:rPr>
        <w:t>número</w:t>
      </w:r>
      <w:proofErr w:type="gramEnd"/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 do processo; </w:t>
      </w:r>
    </w:p>
    <w:p w:rsidR="00A35229" w:rsidRPr="00A35229" w:rsidRDefault="00A35229" w:rsidP="00A35229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proofErr w:type="gramStart"/>
      <w:r w:rsidRPr="00A35229">
        <w:rPr>
          <w:rFonts w:ascii="Bookman Old Style" w:eastAsia="Calibri" w:hAnsi="Bookman Old Style" w:cs="Times New Roman"/>
          <w:sz w:val="24"/>
          <w:szCs w:val="24"/>
        </w:rPr>
        <w:t>número</w:t>
      </w:r>
      <w:proofErr w:type="gramEnd"/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 da licitação;</w:t>
      </w:r>
    </w:p>
    <w:p w:rsidR="00A35229" w:rsidRPr="00A35229" w:rsidRDefault="00A35229" w:rsidP="00A35229">
      <w:pPr>
        <w:widowControl w:val="0"/>
        <w:suppressAutoHyphens/>
        <w:spacing w:after="0" w:line="240" w:lineRule="auto"/>
        <w:ind w:right="-1"/>
        <w:jc w:val="both"/>
        <w:rPr>
          <w:rFonts w:ascii="Bookman Old Style" w:eastAsia="Times New Roman" w:hAnsi="Bookman Old Style" w:cs="Arial"/>
          <w:color w:val="000000"/>
          <w:sz w:val="24"/>
          <w:szCs w:val="24"/>
          <w:lang w:eastAsia="ar-SA"/>
        </w:rPr>
      </w:pPr>
      <w:r w:rsidRPr="00A35229">
        <w:rPr>
          <w:rFonts w:ascii="Bookman Old Style" w:eastAsia="Times New Roman" w:hAnsi="Bookman Old Style" w:cs="Arial"/>
          <w:b/>
          <w:bCs/>
          <w:sz w:val="24"/>
          <w:szCs w:val="24"/>
          <w:lang w:eastAsia="pt-BR"/>
        </w:rPr>
        <w:t>5.3</w:t>
      </w:r>
      <w:r w:rsidRPr="00A35229">
        <w:rPr>
          <w:rFonts w:ascii="Bookman Old Style" w:eastAsia="Times New Roman" w:hAnsi="Bookman Old Style" w:cs="Arial"/>
          <w:sz w:val="24"/>
          <w:szCs w:val="24"/>
          <w:lang w:eastAsia="pt-BR"/>
        </w:rPr>
        <w:t xml:space="preserve">. </w:t>
      </w:r>
      <w:r w:rsidRPr="00A35229">
        <w:rPr>
          <w:rFonts w:ascii="Bookman Old Style" w:eastAsia="Times New Roman" w:hAnsi="Bookman Old Style" w:cs="Arial"/>
          <w:color w:val="000000"/>
          <w:sz w:val="24"/>
          <w:szCs w:val="24"/>
          <w:lang w:eastAsia="ar-SA"/>
        </w:rPr>
        <w:t>A Contratada, durante toda a execução do contrato, deverá manter todas as condições de habilitação e qualificação exigidas na licitação.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color w:val="FF0000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>5.4.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 A nota fiscal ou instrumento de cobrança equivalente deverá estar obrigatoriamente acompanhada da comprovação da regularidade fiscal, constatada pela Contratante, mediante consulta aos sítios eletrônicos oficiais ou à documentação mencionada no </w:t>
      </w:r>
      <w:hyperlink r:id="rId8" w:anchor=":~:text=Art.%2068.%20As,da%20legisla%C3%A7%C3%A3o%20espec%C3%ADfica." w:history="1">
        <w:r w:rsidRPr="00A35229">
          <w:rPr>
            <w:rFonts w:ascii="Bookman Old Style" w:eastAsia="Calibri" w:hAnsi="Bookman Old Style" w:cs="Calibri"/>
            <w:color w:val="0000FF"/>
            <w:sz w:val="24"/>
            <w:szCs w:val="24"/>
            <w:u w:val="single"/>
          </w:rPr>
          <w:t>art. 68 da Lei 14.133, de 2021</w:t>
        </w:r>
      </w:hyperlink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.   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bCs/>
          <w:color w:val="0D0D0D"/>
          <w:sz w:val="24"/>
          <w:szCs w:val="24"/>
        </w:rPr>
        <w:lastRenderedPageBreak/>
        <w:t>5.4.1.</w:t>
      </w:r>
      <w:r w:rsidRPr="00A35229">
        <w:rPr>
          <w:rFonts w:ascii="Bookman Old Style" w:eastAsia="Calibri" w:hAnsi="Bookman Old Style" w:cs="Times New Roman"/>
          <w:bCs/>
          <w:color w:val="0D0D0D"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Em caso de irregularidade do contratado, será efetuada sua notificação, por escrito, para que, no prazo de 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10</w:t>
      </w: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 xml:space="preserve"> (dez) dias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>, sejam sanadas as respectivas pendências ou, no mesmo prazo, apresente sua defesa.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5.4.1.1.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O prazo poderá ser prorrogado uma vez, por igual período, a critério do contratante.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5.4.2.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Não havendo regularização ou sendo a defesa considerada improcedente, o contratante deverá comunicar à equipe de fiscalização quanto à inadimplência do contratado, bem como quanto à existência de pagamento a ser efetuado, para que sejam acionados os meios pertinentes e necessários para garantir o recebimento de seus créditos, de acordo com a efetiva execução do objeto.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</w:rPr>
        <w:t>5.4.3.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Persistindo a irregularidade, a contratante, em decisão fundamentada, deverá aplicar a penalidade cabível nos autos do processo administrativo correspondente.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5.5.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A empresa contratada deverá observar a forma de remessa da NF e demais documentos que devem acompanhá-la.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5.6.</w:t>
      </w: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ab/>
        <w:t>DO PAGAMENTO: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ar-SA"/>
        </w:rPr>
      </w:pPr>
      <w:r w:rsidRPr="00A35229">
        <w:rPr>
          <w:rFonts w:ascii="Bookman Old Style" w:eastAsia="Calibri" w:hAnsi="Bookman Old Style" w:cs="Times New Roman"/>
          <w:b/>
          <w:bCs/>
          <w:color w:val="000000"/>
          <w:sz w:val="24"/>
          <w:szCs w:val="24"/>
        </w:rPr>
        <w:t>5.6.1</w:t>
      </w:r>
      <w:r w:rsidRPr="00A35229">
        <w:rPr>
          <w:rFonts w:ascii="Bookman Old Style" w:eastAsia="Calibri" w:hAnsi="Bookman Old Style" w:cs="Times New Roman"/>
          <w:color w:val="000000"/>
          <w:sz w:val="24"/>
          <w:szCs w:val="24"/>
        </w:rPr>
        <w:t>.</w:t>
      </w:r>
      <w:r w:rsidRPr="00A35229">
        <w:rPr>
          <w:rFonts w:ascii="Bookman Old Style" w:eastAsia="Calibri" w:hAnsi="Bookman Old Style" w:cs="Times New Roman"/>
          <w:color w:val="000000"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  <w:lang w:eastAsia="ar-SA"/>
        </w:rPr>
        <w:t xml:space="preserve">O pagamento, decorrente do fornecimento do objeto do Contrato, será efetuado mediante crédito em conta corrente, no prazo de </w:t>
      </w: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ar-SA"/>
        </w:rPr>
        <w:t>até 20 (vinte) dias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ar-SA"/>
        </w:rPr>
        <w:t>, contados da liquidação.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Times New Roman" w:hAnsi="Bookman Old Style" w:cs="Times New Roman"/>
          <w:b/>
          <w:bCs/>
          <w:sz w:val="24"/>
          <w:szCs w:val="24"/>
          <w:lang w:eastAsia="ar-SA"/>
        </w:rPr>
        <w:t>5.6.2</w:t>
      </w:r>
      <w:r w:rsidRPr="00A35229">
        <w:rPr>
          <w:rFonts w:ascii="Bookman Old Style" w:eastAsia="Times New Roman" w:hAnsi="Bookman Old Style" w:cs="Times New Roman"/>
          <w:sz w:val="24"/>
          <w:szCs w:val="24"/>
          <w:lang w:eastAsia="ar-SA"/>
        </w:rPr>
        <w:t>.</w:t>
      </w:r>
      <w:r w:rsidRPr="00A35229">
        <w:rPr>
          <w:rFonts w:ascii="Bookman Old Style" w:eastAsia="Times New Roman" w:hAnsi="Bookman Old Style" w:cs="Times New Roman"/>
          <w:sz w:val="24"/>
          <w:szCs w:val="24"/>
          <w:lang w:eastAsia="ar-SA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 xml:space="preserve">O documento de cobrança da Contratada será mediante nota fiscal/fatura, cujo crédito será realizado na conta corrente indicada pela Contratada. 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</w:rPr>
        <w:t>5.6.3.</w:t>
      </w:r>
      <w:r w:rsidRPr="00A35229">
        <w:rPr>
          <w:rFonts w:ascii="Bookman Old Style" w:eastAsia="Calibri" w:hAnsi="Bookman Old Style" w:cs="Calibri"/>
          <w:b/>
          <w:color w:val="0D0D0D"/>
          <w:sz w:val="24"/>
          <w:szCs w:val="24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</w:rPr>
        <w:t>Será considerada data do pagamento o dia em que constar como emitida a ordem bancária para pagamento.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5.6.4.</w:t>
      </w: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Se for constatado erro ou irregularidade na nota fiscal/fatura, a Contratante, a seu critério, poderá devolvê-la para as devidas correções, ou aceitá-la, com a glosa da parte que considerar indevida, nesta hipótese, o prazo para pagamento iniciar-se-á após a regularização da situação ou reapresentação do documento fiscal, não acarretando qualquer ônus para a Contratante.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>5.6.4.1.</w:t>
      </w:r>
      <w:r w:rsidRPr="00A35229">
        <w:rPr>
          <w:rFonts w:ascii="Bookman Old Style" w:eastAsia="Calibri" w:hAnsi="Bookman Old Style" w:cs="Times New Roman"/>
          <w:b/>
          <w:sz w:val="24"/>
          <w:szCs w:val="24"/>
          <w:lang w:eastAsia="pt-BR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Na hipótese de devolução, a nota fiscal/fatura será considerada como não apresentada, para fins de atendimento das condições contratuais.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  <w:lang w:eastAsia="pt-BR"/>
        </w:rPr>
        <w:t>5.6.5.</w:t>
      </w:r>
      <w:r w:rsidRPr="00A35229">
        <w:rPr>
          <w:rFonts w:ascii="Bookman Old Style" w:eastAsia="Calibri" w:hAnsi="Bookman Old Style" w:cs="Times New Roman"/>
          <w:b/>
          <w:bCs/>
          <w:sz w:val="24"/>
          <w:szCs w:val="24"/>
          <w:lang w:eastAsia="pt-BR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A Contratante não pagará, sem que tenha autorização prévia e formal, qualquer compromisso que lhe venha a ser cobrado diretamente por terceiros, sejam ou não instituições financeiras.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  <w:lang w:eastAsia="pt-BR"/>
        </w:rPr>
        <w:t>5.6.6.</w:t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ab/>
        <w:t>Os eventuais encargos financeiros, processuais e outros, decorrentes da inobservância, pela Contratada, de prazo de pagamento, serão de sua exclusiva responsabilidade.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  <w:lang w:eastAsia="pt-BR"/>
        </w:rPr>
        <w:t>5.6.7.</w:t>
      </w:r>
      <w:r w:rsidRPr="00A35229">
        <w:rPr>
          <w:rFonts w:ascii="Bookman Old Style" w:eastAsia="Calibri" w:hAnsi="Bookman Old Style" w:cs="Times New Roman"/>
          <w:b/>
          <w:bCs/>
          <w:sz w:val="24"/>
          <w:szCs w:val="24"/>
          <w:lang w:eastAsia="pt-BR"/>
        </w:rPr>
        <w:tab/>
      </w:r>
      <w:r w:rsidRPr="00A35229">
        <w:rPr>
          <w:rFonts w:ascii="Bookman Old Style" w:eastAsia="Calibri" w:hAnsi="Bookman Old Style" w:cs="Times New Roman"/>
          <w:sz w:val="24"/>
          <w:szCs w:val="24"/>
          <w:lang w:eastAsia="pt-BR"/>
        </w:rPr>
        <w:t>A Contratante efetuará retenção, na fonte, dos tributos e contribuições sobre todos os pagamentos devidos à Contratada, na forma da legislação aplicável.</w:t>
      </w:r>
    </w:p>
    <w:p w:rsidR="00A35229" w:rsidRPr="00A35229" w:rsidRDefault="00A35229" w:rsidP="00A35229">
      <w:pPr>
        <w:widowControl w:val="0"/>
        <w:suppressAutoHyphens/>
        <w:spacing w:after="0" w:line="240" w:lineRule="auto"/>
        <w:jc w:val="both"/>
        <w:rPr>
          <w:rFonts w:ascii="Bookman Old Style" w:eastAsia="Times New Roman" w:hAnsi="Bookman Old Style" w:cs="Arial"/>
          <w:sz w:val="24"/>
          <w:szCs w:val="24"/>
          <w:lang w:eastAsia="ar-SA"/>
        </w:rPr>
      </w:pPr>
      <w:r w:rsidRPr="00A35229">
        <w:rPr>
          <w:rFonts w:ascii="Bookman Old Style" w:eastAsia="Times New Roman" w:hAnsi="Bookman Old Style" w:cs="Arial"/>
          <w:b/>
          <w:bCs/>
          <w:sz w:val="24"/>
          <w:szCs w:val="24"/>
          <w:lang w:eastAsia="ar-SA"/>
        </w:rPr>
        <w:t>5.6.8</w:t>
      </w:r>
      <w:r w:rsidRPr="00A35229">
        <w:rPr>
          <w:rFonts w:ascii="Bookman Old Style" w:eastAsia="Times New Roman" w:hAnsi="Bookman Old Style" w:cs="Arial"/>
          <w:sz w:val="24"/>
          <w:szCs w:val="24"/>
          <w:lang w:eastAsia="ar-SA"/>
        </w:rPr>
        <w:t xml:space="preserve">. </w:t>
      </w:r>
      <w:r w:rsidRPr="00A35229">
        <w:rPr>
          <w:rFonts w:ascii="Bookman Old Style" w:eastAsia="Times New Roman" w:hAnsi="Bookman Old Style" w:cs="Arial"/>
          <w:sz w:val="24"/>
          <w:szCs w:val="24"/>
          <w:lang w:eastAsia="ar-SA"/>
        </w:rPr>
        <w:tab/>
        <w:t>Será efetuada a glosa no pagamento, proporcional à irregularidade verificada, sem prejuízo das sanções cabíveis, caso se constate que a contratada:</w:t>
      </w:r>
    </w:p>
    <w:p w:rsidR="00A35229" w:rsidRPr="00A35229" w:rsidRDefault="00A35229" w:rsidP="00A35229">
      <w:pPr>
        <w:widowControl w:val="0"/>
        <w:suppressAutoHyphens/>
        <w:spacing w:after="0" w:line="240" w:lineRule="auto"/>
        <w:jc w:val="both"/>
        <w:rPr>
          <w:rFonts w:ascii="Bookman Old Style" w:eastAsia="Times New Roman" w:hAnsi="Bookman Old Style" w:cs="Arial"/>
          <w:sz w:val="24"/>
          <w:szCs w:val="24"/>
          <w:lang w:eastAsia="ar-SA"/>
        </w:rPr>
      </w:pPr>
      <w:r w:rsidRPr="00A35229">
        <w:rPr>
          <w:rFonts w:ascii="Bookman Old Style" w:eastAsia="Times New Roman" w:hAnsi="Bookman Old Style" w:cs="Arial"/>
          <w:b/>
          <w:bCs/>
          <w:sz w:val="24"/>
          <w:szCs w:val="24"/>
          <w:lang w:eastAsia="ar-SA"/>
        </w:rPr>
        <w:lastRenderedPageBreak/>
        <w:t>5.6.8.1.</w:t>
      </w:r>
      <w:r w:rsidRPr="00A35229">
        <w:rPr>
          <w:rFonts w:ascii="Bookman Old Style" w:eastAsia="Times New Roman" w:hAnsi="Bookman Old Style" w:cs="Arial"/>
          <w:sz w:val="24"/>
          <w:szCs w:val="24"/>
          <w:lang w:eastAsia="ar-SA"/>
        </w:rPr>
        <w:t xml:space="preserve"> </w:t>
      </w:r>
      <w:r w:rsidRPr="00A35229">
        <w:rPr>
          <w:rFonts w:ascii="Bookman Old Style" w:eastAsia="Times New Roman" w:hAnsi="Bookman Old Style" w:cs="Arial"/>
          <w:sz w:val="24"/>
          <w:szCs w:val="24"/>
          <w:lang w:eastAsia="ar-SA"/>
        </w:rPr>
        <w:tab/>
        <w:t>Não produziu os resultados acordados ou deixe de executar as atividades contratadas ou não as executou com a qualidade mínima exigida.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5.6.9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>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Em se tratando de execução de recursos da União decorrente de transferência voluntária, as regras de pagamento atenderão ao regramento próprio editado por aquele ente.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sz w:val="24"/>
          <w:szCs w:val="24"/>
          <w:lang w:val="x-none"/>
        </w:rPr>
        <w:t xml:space="preserve">6. DO PLANO </w:t>
      </w: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>DE FISCALIZAÇÃO/GESTÃO DO CONTRATO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>6.1.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Nos termos do art. 117 da Lei 14.133, de 2021, será designado representante para acompanhar e fiscalizar a execução da contratação, anotando em registro próprio todas as ocorrências relacionadas, e determinando o que for necessário à regularização de falhas ou defeitos observados.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>6.2.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O fiscal de contrato desenvolverá as suas atribuições na conformidade do Plano de Fiscalização e para facilitação da fiscalização e a gestão do contrato, o município desenvolveu o Plano Básico de Fiscalização, inserindo as ações a serem adotadas pela equipe de fiscalização, visando inibir a incidência dos riscos comuns a todo objeto, devidamente inserido no item “gerenciamento de riscos” do relatório do estudo técnico.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bCs/>
          <w:sz w:val="24"/>
          <w:szCs w:val="24"/>
        </w:rPr>
        <w:t>6.3.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>Para a efetividade e eficiência da execução contratual, o contratado deverá apresentar preposto devidamente qualificado e manter atualizado o seu contato eletrônico, sendo que a comunicação entre a equipe de fiscalização e o preposto se dará principalmente por via de e-mail informados no contrato, sendo de responsabilidade da contratada manter o endereço eletrônico atualizado.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A35229">
        <w:rPr>
          <w:rFonts w:ascii="Bookman Old Style" w:eastAsia="Calibri" w:hAnsi="Bookman Old Style" w:cs="Times New Roman"/>
          <w:b/>
          <w:sz w:val="24"/>
          <w:szCs w:val="24"/>
        </w:rPr>
        <w:t>6.4.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ab/>
        <w:t xml:space="preserve">Havendo ações específicas ao objeto necessárias à fiscalização do contrato, estas constarão do item “Do Gerenciamento de Riscos” no relatório do ETP, </w:t>
      </w:r>
      <w:r w:rsidRPr="00A35229">
        <w:rPr>
          <w:rFonts w:ascii="Bookman Old Style" w:eastAsia="Calibri" w:hAnsi="Bookman Old Style" w:cs="Times New Roman"/>
          <w:i/>
          <w:sz w:val="24"/>
          <w:szCs w:val="24"/>
        </w:rPr>
        <w:t>se for o caso</w:t>
      </w:r>
      <w:r w:rsidRPr="00A35229">
        <w:rPr>
          <w:rFonts w:ascii="Bookman Old Style" w:eastAsia="Calibri" w:hAnsi="Bookman Old Style" w:cs="Times New Roman"/>
          <w:sz w:val="24"/>
          <w:szCs w:val="24"/>
        </w:rPr>
        <w:t>, e na Ata de RP.</w:t>
      </w:r>
    </w:p>
    <w:p w:rsidR="00A35229" w:rsidRPr="00A35229" w:rsidRDefault="00A35229" w:rsidP="00A35229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b/>
          <w:sz w:val="24"/>
          <w:szCs w:val="24"/>
          <w:lang w:val="x-none" w:eastAsia="x-none"/>
        </w:rPr>
        <w:t xml:space="preserve">7.DOS CRITÉRIOS DE SELEÇÃO DO FORNECEDOR 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 xml:space="preserve">7.1. </w:t>
      </w:r>
      <w:r w:rsidRPr="00A35229">
        <w:rPr>
          <w:rFonts w:ascii="Bookman Old Style" w:eastAsia="Times New Roman" w:hAnsi="Bookman Old Style" w:cs="Arial"/>
          <w:sz w:val="24"/>
          <w:szCs w:val="24"/>
          <w:lang w:val="x-none" w:eastAsia="pt-BR"/>
        </w:rPr>
        <w:t>A licitação será dividida em itens, facultando-se ao licitante a participação em quantos itens forem de seu interesse.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Cs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sz w:val="24"/>
          <w:szCs w:val="24"/>
          <w:lang w:val="x-none"/>
        </w:rPr>
        <w:t>7.1.1.</w:t>
      </w:r>
      <w:r w:rsidRPr="00A35229">
        <w:rPr>
          <w:rFonts w:ascii="Bookman Old Style" w:eastAsia="Calibri" w:hAnsi="Bookman Old Style" w:cs="Calibri"/>
          <w:bCs/>
          <w:sz w:val="24"/>
          <w:szCs w:val="24"/>
          <w:lang w:val="x-none"/>
        </w:rPr>
        <w:t xml:space="preserve"> O fornecedor será selecionado por meio da realização de procedimento de LICITAÇÃO, na modalidade PREGÃO, sob a forma PRESENCIAL, com adoção do critério de julgamento </w:t>
      </w:r>
      <w:r w:rsidRPr="00A35229">
        <w:rPr>
          <w:rFonts w:ascii="Bookman Old Style" w:eastAsia="Calibri" w:hAnsi="Bookman Old Style" w:cs="Calibri"/>
          <w:bCs/>
          <w:iCs/>
          <w:sz w:val="24"/>
          <w:szCs w:val="24"/>
          <w:lang w:val="x-none"/>
        </w:rPr>
        <w:t>MENOR PREÇO</w:t>
      </w:r>
      <w:r w:rsidRPr="00A35229">
        <w:rPr>
          <w:rFonts w:ascii="Bookman Old Style" w:eastAsia="Calibri" w:hAnsi="Bookman Old Style" w:cs="Calibri"/>
          <w:bCs/>
          <w:sz w:val="24"/>
          <w:szCs w:val="24"/>
          <w:lang w:val="x-none"/>
        </w:rPr>
        <w:t>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/>
          <w:sz w:val="24"/>
          <w:szCs w:val="24"/>
          <w:lang w:val="x-none"/>
        </w:rPr>
      </w:pPr>
      <w:bookmarkStart w:id="0" w:name="_Hlk140739523"/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7.2. Das Exigências de Habilitação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Cs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sz w:val="24"/>
          <w:szCs w:val="24"/>
        </w:rPr>
        <w:t>7.2.1.</w:t>
      </w:r>
      <w:r w:rsidRPr="00A35229">
        <w:rPr>
          <w:rFonts w:ascii="Bookman Old Style" w:eastAsia="Calibri" w:hAnsi="Bookman Old Style" w:cs="Calibri"/>
          <w:bCs/>
          <w:sz w:val="24"/>
          <w:szCs w:val="24"/>
        </w:rPr>
        <w:t xml:space="preserve"> </w:t>
      </w:r>
      <w:r w:rsidRPr="00A35229">
        <w:rPr>
          <w:rFonts w:ascii="Bookman Old Style" w:eastAsia="Calibri" w:hAnsi="Bookman Old Style" w:cs="Calibri"/>
          <w:bCs/>
          <w:sz w:val="24"/>
          <w:szCs w:val="24"/>
          <w:lang w:val="x-none"/>
        </w:rPr>
        <w:t xml:space="preserve">Conforme estudo técnico preliminar, além dos documentos gerais a constarem do Edital </w:t>
      </w:r>
      <w:r w:rsidRPr="00A35229">
        <w:rPr>
          <w:rFonts w:ascii="Bookman Old Style" w:eastAsia="Calibri" w:hAnsi="Bookman Old Style" w:cs="Calibri"/>
          <w:b/>
          <w:bCs/>
          <w:sz w:val="24"/>
          <w:szCs w:val="24"/>
          <w:lang w:val="x-none"/>
        </w:rPr>
        <w:t>não foram</w:t>
      </w:r>
      <w:r w:rsidRPr="00A35229">
        <w:rPr>
          <w:rFonts w:ascii="Bookman Old Style" w:eastAsia="Calibri" w:hAnsi="Bookman Old Style" w:cs="Calibri"/>
          <w:bCs/>
          <w:sz w:val="24"/>
          <w:szCs w:val="24"/>
          <w:lang w:val="x-none"/>
        </w:rPr>
        <w:t xml:space="preserve"> identificados documentos de habilitação específicos para o objeto.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Cs/>
          <w:sz w:val="24"/>
          <w:szCs w:val="24"/>
          <w:lang w:val="x-none"/>
        </w:rPr>
      </w:pP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t>8.DA ESTIMATIVA DO VALOR DA CONTRATAÇÃO</w:t>
      </w:r>
    </w:p>
    <w:p w:rsidR="00A35229" w:rsidRPr="00A35229" w:rsidRDefault="00A35229" w:rsidP="00A35229">
      <w:pPr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 w:firstLine="0"/>
        <w:contextualSpacing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O valor total estimado da contratação é R$ </w:t>
      </w:r>
      <w:r w:rsidRPr="00A35229">
        <w:rPr>
          <w:rFonts w:ascii="Bookman Old Style" w:eastAsia="Calibri" w:hAnsi="Bookman Old Style" w:cs="Times New Roman"/>
          <w:b/>
          <w:iCs/>
          <w:sz w:val="24"/>
          <w:szCs w:val="24"/>
          <w:lang w:val="x-none"/>
        </w:rPr>
        <w:t xml:space="preserve">R$ </w:t>
      </w:r>
      <w:r w:rsidRPr="00A35229">
        <w:rPr>
          <w:rFonts w:ascii="Bookman Old Style" w:eastAsia="Calibri" w:hAnsi="Bookman Old Style" w:cs="Times New Roman"/>
          <w:b/>
          <w:iCs/>
          <w:sz w:val="24"/>
          <w:szCs w:val="24"/>
        </w:rPr>
        <w:t>142.339,58</w:t>
      </w:r>
      <w:r w:rsidRPr="00A35229">
        <w:rPr>
          <w:rFonts w:ascii="Bookman Old Style" w:eastAsia="Calibri" w:hAnsi="Bookman Old Style" w:cs="Times New Roman"/>
          <w:b/>
          <w:iCs/>
          <w:sz w:val="24"/>
          <w:szCs w:val="24"/>
          <w:lang w:val="x-none"/>
        </w:rPr>
        <w:t xml:space="preserve"> (</w:t>
      </w:r>
      <w:r w:rsidRPr="00A35229">
        <w:rPr>
          <w:rFonts w:ascii="Bookman Old Style" w:eastAsia="Calibri" w:hAnsi="Bookman Old Style" w:cs="Times New Roman"/>
          <w:b/>
          <w:iCs/>
          <w:sz w:val="24"/>
          <w:szCs w:val="24"/>
        </w:rPr>
        <w:t>cento e quarenta e dois mil, trezentos e trinta e nove reais e cinquenta e oito centavos</w:t>
      </w:r>
      <w:r w:rsidRPr="00A35229">
        <w:rPr>
          <w:rFonts w:ascii="Bookman Old Style" w:eastAsia="Calibri" w:hAnsi="Bookman Old Style" w:cs="Times New Roman"/>
          <w:b/>
          <w:iCs/>
          <w:sz w:val="24"/>
          <w:szCs w:val="24"/>
          <w:lang w:val="x-none"/>
        </w:rPr>
        <w:t xml:space="preserve">), </w:t>
      </w: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conforme valor unitário referencial discriminado no item 1.2 deste instrumento, que foi apurado em pesquisa de mercado. 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</w:pPr>
    </w:p>
    <w:p w:rsidR="00A35229" w:rsidRPr="00A35229" w:rsidRDefault="00A35229" w:rsidP="00A35229">
      <w:pPr>
        <w:spacing w:after="0" w:line="240" w:lineRule="auto"/>
        <w:rPr>
          <w:rFonts w:ascii="Bookman Old Style" w:eastAsia="Times New Roman" w:hAnsi="Bookman Old Style" w:cs="Calibri"/>
          <w:b/>
          <w:bCs/>
          <w:color w:val="0D0D0D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color w:val="0D0D0D"/>
          <w:sz w:val="24"/>
          <w:szCs w:val="24"/>
          <w:lang w:eastAsia="pt-BR"/>
        </w:rPr>
        <w:lastRenderedPageBreak/>
        <w:t>9. DA MANUTENÇÃO DO EQUILÍBRIO ECONÔMICO-FINANCEIRO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9.1.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Os preços poderão ser revistos a qualquer tempo, para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9.2.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Caso haja alteração unilateral do contrato que aumente ou diminua os encargos do contratado, a Administração reestabelecerá o equilíbrio econômico-financeiro inicial concomitantemente à alteração.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9.3.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A Administração analisará o pedido de reestabelecimento do equilíbrio econômico financeiro, acompanhado dos devidos cálculos, notas fiscais anteriores, tabelas de preços oficiais e demais documentos comprobatórios pertinentes.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9.4.</w:t>
      </w: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ab/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>Após a análise do pedido, e desde que, a autoridade competente ateste que as condições e os preços permanecem vantajosos, a Administração reestabelecerá, mediante termo aditivo, o equilíbrio econômico-financeiro inicial.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9.5.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Será permitida à Administração a negociação com o contratado ou a extinção contratual sem ônus para qualquer das partes.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9.6.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A formalização do termo aditivo é condição para a execução pelo contratado das prestações determinadas pela Administração no curso da execução do contrato, salvo nos casos de justificada necessidade de antecipação de seus efeitos, hipótese em que a formalização deverá ocorrer no prazo máximo de 1 (um) mês.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9.7.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No caso do disposto do subitem 9.1., a alteração unilateral e o restabelecimento do equilíbrio econômico-financeiro serão formalizados no mesmo termo aditivo.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sz w:val="24"/>
          <w:szCs w:val="24"/>
          <w:lang w:val="x-none"/>
        </w:rPr>
        <w:t>9.8.</w:t>
      </w:r>
      <w:r w:rsidRPr="00A35229">
        <w:rPr>
          <w:rFonts w:ascii="Bookman Old Style" w:eastAsia="Calibri" w:hAnsi="Bookman Old Style" w:cs="Calibri"/>
          <w:sz w:val="24"/>
          <w:szCs w:val="24"/>
          <w:lang w:val="x-none"/>
        </w:rPr>
        <w:tab/>
        <w:t>A extinção do contrato não configurará óbice para o reconhecimento do desequilíbrio econômico-financeiro, hipótese em que será concedida indenização por meio de termo indenizatório.</w:t>
      </w:r>
      <w:r w:rsidRPr="00A35229">
        <w:rPr>
          <w:rFonts w:ascii="Bookman Old Style" w:eastAsia="Calibri" w:hAnsi="Bookman Old Style" w:cs="Arial"/>
          <w:sz w:val="24"/>
          <w:szCs w:val="24"/>
          <w:lang w:val="x-none"/>
        </w:rPr>
        <w:t xml:space="preserve"> 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  <w:lang w:val="x-none"/>
        </w:rPr>
      </w:pPr>
    </w:p>
    <w:bookmarkEnd w:id="0"/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/>
          <w:bCs/>
          <w:color w:val="0D0D0D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color w:val="0D0D0D"/>
          <w:sz w:val="24"/>
          <w:szCs w:val="24"/>
          <w:lang w:eastAsia="pt-BR"/>
        </w:rPr>
        <w:t>10. DOS RECURSOS ORÇAMENTÁRIOS</w:t>
      </w:r>
    </w:p>
    <w:p w:rsidR="00A35229" w:rsidRPr="00A35229" w:rsidRDefault="00A35229" w:rsidP="00A35229">
      <w:pPr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ind w:left="0" w:firstLine="0"/>
        <w:jc w:val="both"/>
        <w:rPr>
          <w:rFonts w:ascii="Bookman Old Style" w:eastAsia="Calibri" w:hAnsi="Bookman Old Style" w:cs="Times New Roman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Cs/>
          <w:color w:val="0D0D0D"/>
          <w:sz w:val="24"/>
          <w:szCs w:val="24"/>
          <w:lang w:val="x-none"/>
        </w:rPr>
        <w:t xml:space="preserve"> Por se tratar de sistema de registro de preço a dotação orçamentária será informada na formalização de contrato decorrente da Ata de Registro de Preço.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Calibri" w:hAnsi="Bookman Old Style" w:cs="Times New Roman"/>
          <w:sz w:val="24"/>
          <w:szCs w:val="24"/>
          <w:lang w:val="x-none"/>
        </w:rPr>
      </w:pP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  <w:t>11. DAS OBRIGAÇÕES DO ÓRGÃO GERENCIADOR, DO CONTRATANTE E CONTRATADO (Detentor da Ata)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  <w:t>11.1.</w:t>
      </w:r>
      <w:r w:rsidRPr="00A35229"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  <w:t xml:space="preserve"> Os direitos e obrigações do órgão gerenciador, do detentor da ata e dos órgãos e entidades participantes são aqueles que estão previstos na Ata de Registro de Preço.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  <w:t>11.2.</w:t>
      </w:r>
      <w:r w:rsidRPr="00A35229"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  <w:t xml:space="preserve"> Celebrado o contrato em decorrência da ARP, os órgãos e/ou entidades participantes passam a ser designados como “Contratantes” e o detentor da ata como “Contratado”, e estão sujeitos a obrigações descritas na respectiva Ata de Registro de Preços.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</w:pPr>
      <w:r w:rsidRPr="00A35229">
        <w:rPr>
          <w:rFonts w:ascii="Bookman Old Style" w:eastAsia="Calibri" w:hAnsi="Bookman Old Style" w:cs="Calibri"/>
          <w:b/>
          <w:bCs/>
          <w:color w:val="0D0D0D"/>
          <w:sz w:val="24"/>
          <w:szCs w:val="24"/>
          <w:lang w:val="x-none"/>
        </w:rPr>
        <w:lastRenderedPageBreak/>
        <w:t xml:space="preserve">12.DA ADESÃO À ATA POR “NÃO PARTICIPANTES” 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  <w:t>12.1.</w:t>
      </w:r>
      <w:r w:rsidRPr="00A35229"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  <w:t xml:space="preserve"> Não será admitida a adesão à Ata de registro de Preço por órgãos e entidades não participantes do procedimento.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</w:pP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  <w:t>13. DAS INFRAÇÕES E SANÇÕES ADMINISTRATIVAS</w:t>
      </w:r>
    </w:p>
    <w:p w:rsidR="00A35229" w:rsidRPr="00A35229" w:rsidRDefault="00A35229" w:rsidP="00A35229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b/>
          <w:bCs/>
          <w:sz w:val="24"/>
          <w:szCs w:val="24"/>
          <w:lang w:eastAsia="pt-BR"/>
        </w:rPr>
        <w:t>13.1.</w:t>
      </w:r>
      <w:r w:rsidRPr="00A35229">
        <w:rPr>
          <w:rFonts w:ascii="Bookman Old Style" w:eastAsia="Times New Roman" w:hAnsi="Bookman Old Style" w:cs="Calibri"/>
          <w:bCs/>
          <w:sz w:val="24"/>
          <w:szCs w:val="24"/>
          <w:lang w:eastAsia="pt-BR"/>
        </w:rPr>
        <w:t xml:space="preserve"> Comete infração administrativa o fornecedor que infringir as disposições previstas no art. 155 da Lei 14.133, de 2021, conforme estabelecido no Edital e Instrumento Contratual.</w:t>
      </w:r>
    </w:p>
    <w:p w:rsidR="00A35229" w:rsidRPr="00A35229" w:rsidRDefault="00A35229" w:rsidP="00A35229">
      <w:pPr>
        <w:spacing w:after="0" w:line="240" w:lineRule="auto"/>
        <w:ind w:left="1415" w:hanging="283"/>
        <w:contextualSpacing/>
        <w:rPr>
          <w:rFonts w:ascii="Bookman Old Style" w:eastAsia="Calibri" w:hAnsi="Bookman Old Style" w:cs="Times New Roman"/>
          <w:sz w:val="24"/>
          <w:szCs w:val="24"/>
        </w:rPr>
      </w:pPr>
    </w:p>
    <w:p w:rsidR="00A35229" w:rsidRPr="00A35229" w:rsidRDefault="00A35229" w:rsidP="00A35229">
      <w:pPr>
        <w:spacing w:after="0" w:line="240" w:lineRule="auto"/>
        <w:ind w:left="1415" w:hanging="283"/>
        <w:contextualSpacing/>
        <w:rPr>
          <w:rFonts w:ascii="Bookman Old Style" w:eastAsia="Calibri" w:hAnsi="Bookman Old Style" w:cs="Times New Roman"/>
          <w:sz w:val="24"/>
          <w:szCs w:val="24"/>
        </w:rPr>
      </w:pPr>
    </w:p>
    <w:p w:rsidR="00A35229" w:rsidRPr="00A35229" w:rsidRDefault="00A35229" w:rsidP="00A35229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Eugenópolis, 05 de março de 2024.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  <w:bookmarkStart w:id="1" w:name="_GoBack"/>
      <w:bookmarkEnd w:id="1"/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Elaborado por:</w:t>
      </w: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rPr>
          <w:rFonts w:ascii="Bookman Old Style" w:eastAsia="Times New Roman" w:hAnsi="Bookman Old Style" w:cs="Calibri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sz w:val="24"/>
          <w:szCs w:val="24"/>
          <w:lang w:eastAsia="pt-BR"/>
        </w:rPr>
        <w:t>______________________________</w:t>
      </w: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Calibri" w:hAnsi="Bookman Old Style" w:cs="Calibri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Calibri"/>
          <w:sz w:val="24"/>
          <w:szCs w:val="24"/>
          <w:lang w:eastAsia="pt-BR"/>
        </w:rPr>
        <w:t>Lucas Gouvêa Carneiro</w:t>
      </w: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Calibri"/>
          <w:sz w:val="24"/>
          <w:szCs w:val="24"/>
          <w:lang w:eastAsia="pt-BR"/>
        </w:rPr>
      </w:pPr>
      <w:r w:rsidRPr="00A35229">
        <w:rPr>
          <w:rFonts w:ascii="Bookman Old Style" w:eastAsia="Calibri" w:hAnsi="Bookman Old Style" w:cs="Calibri"/>
          <w:sz w:val="24"/>
          <w:szCs w:val="24"/>
          <w:lang w:eastAsia="pt-BR"/>
        </w:rPr>
        <w:t>Chefe de Seção</w:t>
      </w: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Aprovado por:</w:t>
      </w: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:rsidR="00A35229" w:rsidRPr="00A35229" w:rsidRDefault="00A35229" w:rsidP="00A35229">
      <w:pPr>
        <w:spacing w:after="0" w:line="240" w:lineRule="auto"/>
        <w:rPr>
          <w:rFonts w:ascii="Bookman Old Style" w:eastAsia="Times New Roman" w:hAnsi="Bookman Old Style" w:cs="Calibri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Calibri"/>
          <w:sz w:val="24"/>
          <w:szCs w:val="24"/>
          <w:lang w:eastAsia="pt-BR"/>
        </w:rPr>
        <w:t>______________________________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Adelson Paulo de Souza</w:t>
      </w:r>
    </w:p>
    <w:p w:rsidR="00A35229" w:rsidRPr="00A35229" w:rsidRDefault="00A35229" w:rsidP="00A3522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x-none" w:eastAsia="x-none"/>
        </w:rPr>
      </w:pPr>
      <w:r w:rsidRPr="00A35229">
        <w:rPr>
          <w:rFonts w:ascii="Bookman Old Style" w:eastAsia="Times New Roman" w:hAnsi="Bookman Old Style" w:cs="Times New Roman"/>
          <w:sz w:val="24"/>
          <w:szCs w:val="24"/>
          <w:lang w:eastAsia="pt-BR"/>
        </w:rPr>
        <w:t>Secretário Municipal de Obras, Atividades Urbanas e Estradas</w:t>
      </w:r>
    </w:p>
    <w:p w:rsidR="00A35229" w:rsidRPr="00A35229" w:rsidRDefault="00A35229" w:rsidP="00A35229">
      <w:pPr>
        <w:spacing w:after="0" w:line="240" w:lineRule="auto"/>
        <w:rPr>
          <w:rFonts w:ascii="Bookman Old Style" w:eastAsia="SimSun" w:hAnsi="Bookman Old Style" w:cs="Times New Roman"/>
          <w:sz w:val="24"/>
          <w:szCs w:val="24"/>
          <w:lang w:eastAsia="pt-BR"/>
        </w:rPr>
      </w:pPr>
    </w:p>
    <w:p w:rsidR="00A35229" w:rsidRPr="00E2093E" w:rsidRDefault="00A35229" w:rsidP="00A35229">
      <w:pPr>
        <w:jc w:val="center"/>
      </w:pPr>
    </w:p>
    <w:sectPr w:rsidR="00A35229" w:rsidRPr="00E2093E" w:rsidSect="00E22EE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426" w:right="991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EE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A856F33"/>
    <w:multiLevelType w:val="hybridMultilevel"/>
    <w:tmpl w:val="888E4FF6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8071DD"/>
    <w:multiLevelType w:val="hybridMultilevel"/>
    <w:tmpl w:val="465222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8160E"/>
    <w:multiLevelType w:val="multilevel"/>
    <w:tmpl w:val="D44E60CE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297DC9"/>
    <w:multiLevelType w:val="multilevel"/>
    <w:tmpl w:val="5532E0CC"/>
    <w:lvl w:ilvl="0">
      <w:start w:val="10"/>
      <w:numFmt w:val="decimal"/>
      <w:lvlText w:val="%1"/>
      <w:lvlJc w:val="left"/>
      <w:pPr>
        <w:ind w:left="480" w:hanging="480"/>
      </w:pPr>
      <w:rPr>
        <w:rFonts w:cs="Calibri" w:hint="default"/>
        <w:color w:val="0D0D0D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Calibri" w:hint="default"/>
        <w:b/>
        <w:color w:val="0D0D0D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0D0D0D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 w:hint="default"/>
        <w:color w:val="0D0D0D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0D0D0D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 w:hint="default"/>
        <w:color w:val="0D0D0D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color w:val="0D0D0D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 w:hint="default"/>
        <w:color w:val="0D0D0D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  <w:color w:val="0D0D0D"/>
      </w:rPr>
    </w:lvl>
  </w:abstractNum>
  <w:abstractNum w:abstractNumId="16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1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3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5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8"/>
  </w:num>
  <w:num w:numId="7">
    <w:abstractNumId w:val="4"/>
  </w:num>
  <w:num w:numId="8">
    <w:abstractNumId w:val="25"/>
  </w:num>
  <w:num w:numId="9">
    <w:abstractNumId w:val="24"/>
  </w:num>
  <w:num w:numId="10">
    <w:abstractNumId w:val="1"/>
  </w:num>
  <w:num w:numId="11">
    <w:abstractNumId w:val="14"/>
  </w:num>
  <w:num w:numId="12">
    <w:abstractNumId w:val="3"/>
  </w:num>
  <w:num w:numId="13">
    <w:abstractNumId w:val="27"/>
  </w:num>
  <w:num w:numId="14">
    <w:abstractNumId w:val="22"/>
  </w:num>
  <w:num w:numId="15">
    <w:abstractNumId w:val="23"/>
  </w:num>
  <w:num w:numId="16">
    <w:abstractNumId w:val="9"/>
  </w:num>
  <w:num w:numId="17">
    <w:abstractNumId w:val="8"/>
  </w:num>
  <w:num w:numId="18">
    <w:abstractNumId w:val="5"/>
  </w:num>
  <w:num w:numId="19">
    <w:abstractNumId w:val="26"/>
  </w:num>
  <w:num w:numId="20">
    <w:abstractNumId w:val="18"/>
  </w:num>
  <w:num w:numId="21">
    <w:abstractNumId w:val="29"/>
  </w:num>
  <w:num w:numId="22">
    <w:abstractNumId w:val="13"/>
  </w:num>
  <w:num w:numId="23">
    <w:abstractNumId w:val="17"/>
  </w:num>
  <w:num w:numId="24">
    <w:abstractNumId w:val="6"/>
  </w:num>
  <w:num w:numId="25">
    <w:abstractNumId w:val="20"/>
  </w:num>
  <w:num w:numId="26">
    <w:abstractNumId w:val="19"/>
  </w:num>
  <w:num w:numId="27">
    <w:abstractNumId w:val="11"/>
  </w:num>
  <w:num w:numId="28">
    <w:abstractNumId w:val="7"/>
  </w:num>
  <w:num w:numId="29">
    <w:abstractNumId w:val="12"/>
  </w:num>
  <w:num w:numId="30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5229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093E"/>
    <w:rsid w:val="00E22EEC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9221A7B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244B9-8F66-4A89-B428-E2F08224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3147</Words>
  <Characters>16995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62</cp:revision>
  <cp:lastPrinted>2024-03-21T16:55:00Z</cp:lastPrinted>
  <dcterms:created xsi:type="dcterms:W3CDTF">2024-03-21T15:42:00Z</dcterms:created>
  <dcterms:modified xsi:type="dcterms:W3CDTF">2024-03-25T16:57:00Z</dcterms:modified>
</cp:coreProperties>
</file>